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5B382E" w:rsidRPr="005B382E" w:rsidTr="00414826">
        <w:tc>
          <w:tcPr>
            <w:tcW w:w="4500" w:type="dxa"/>
          </w:tcPr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ba-RU" w:eastAsia="ru-RU"/>
              </w:rPr>
              <w:t xml:space="preserve">   </w:t>
            </w:r>
            <w:bookmarkStart w:id="0" w:name="_Hlk51583791"/>
            <w:bookmarkStart w:id="1" w:name="_Hlk51583681"/>
            <w:r w:rsidRPr="005B382E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БАШ</w:t>
            </w:r>
            <w:r w:rsidRPr="005B382E">
              <w:rPr>
                <w:rFonts w:ascii="TimBashk" w:eastAsia="Times New Roman" w:hAnsi="TimBashk"/>
                <w:sz w:val="24"/>
                <w:szCs w:val="24"/>
                <w:lang w:val="ba-RU" w:eastAsia="ru-RU"/>
              </w:rPr>
              <w:t>Ҡ</w:t>
            </w:r>
            <w:r w:rsidRPr="005B382E">
              <w:rPr>
                <w:rFonts w:ascii="TimBashk" w:eastAsia="Times New Roman" w:hAnsi="TimBashk"/>
                <w:sz w:val="24"/>
                <w:szCs w:val="24"/>
                <w:lang w:eastAsia="ru-RU"/>
              </w:rPr>
              <w:t>ОРТОСТАН</w:t>
            </w: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 xml:space="preserve"> РЕСПУБЛИКА</w:t>
            </w: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Һ</w:t>
            </w: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Ы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</w:pP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ИГЛИН РАЙОНЫ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eastAsia="ru-RU"/>
              </w:rPr>
              <w:t>МУНИЦИПАЛЬ РАЙОН</w:t>
            </w: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ЫНЫҢ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5B382E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</w:pPr>
            <w:r w:rsidRPr="005B382E">
              <w:rPr>
                <w:rFonts w:ascii="a_Timer(15%) Bashkir" w:eastAsia="Times New Roman" w:hAnsi="a_Timer(15%) Bashkir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5B38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5B382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726743" wp14:editId="2AF05EEA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5B38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КАЛЬТОВСКИЙ</w:t>
            </w:r>
            <w:r w:rsidRPr="005B38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5B38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5B382E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5B382E" w:rsidRPr="005B382E" w:rsidRDefault="005B382E" w:rsidP="005B382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3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5B382E" w:rsidRPr="005B382E" w:rsidRDefault="005B382E" w:rsidP="005B382E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5B382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2760E39" wp14:editId="660C8B07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2A5A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5B382E" w:rsidRPr="005B382E" w:rsidRDefault="005B382E" w:rsidP="005B382E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/>
          <w:sz w:val="28"/>
          <w:szCs w:val="28"/>
          <w:u w:val="double"/>
          <w:lang w:val="be-BY" w:eastAsia="ru-RU"/>
        </w:rPr>
      </w:pPr>
    </w:p>
    <w:p w:rsidR="005B382E" w:rsidRPr="005B382E" w:rsidRDefault="005B382E" w:rsidP="005B38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82E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5B382E"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>ҠАРАР</w:t>
      </w:r>
      <w:r w:rsidRPr="005B38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5B382E" w:rsidRPr="005B382E" w:rsidRDefault="005B382E" w:rsidP="005B38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8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5B382E" w:rsidRPr="005B382E" w:rsidRDefault="005B382E" w:rsidP="005B3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ноябрь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й.             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№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331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1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ноября</w:t>
      </w:r>
      <w:r w:rsidRPr="005B38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г.</w:t>
      </w:r>
    </w:p>
    <w:p w:rsidR="005B382E" w:rsidRP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38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с. </w:t>
      </w:r>
      <w:proofErr w:type="spellStart"/>
      <w:r w:rsidRPr="005B382E">
        <w:rPr>
          <w:rFonts w:ascii="Times New Roman" w:eastAsia="Times New Roman" w:hAnsi="Times New Roman"/>
          <w:sz w:val="28"/>
          <w:szCs w:val="28"/>
          <w:lang w:eastAsia="ru-RU"/>
        </w:rPr>
        <w:t>Кальтовка</w:t>
      </w:r>
      <w:proofErr w:type="spellEnd"/>
    </w:p>
    <w:p w:rsidR="005B382E" w:rsidRPr="005B382E" w:rsidRDefault="005B382E" w:rsidP="005B38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B382E" w:rsidRPr="005B382E" w:rsidRDefault="005B382E" w:rsidP="005B38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38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5B382E">
        <w:rPr>
          <w:rFonts w:ascii="Times New Roman" w:eastAsia="Times New Roman" w:hAnsi="Times New Roman"/>
          <w:b/>
          <w:sz w:val="28"/>
          <w:szCs w:val="28"/>
          <w:lang w:eastAsia="ru-RU"/>
        </w:rPr>
        <w:t>Кальтовский</w:t>
      </w:r>
      <w:proofErr w:type="spellEnd"/>
      <w:r w:rsidRPr="005B38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5B382E">
        <w:rPr>
          <w:rFonts w:ascii="Times New Roman" w:eastAsia="Times New Roman" w:hAnsi="Times New Roman"/>
          <w:b/>
          <w:sz w:val="28"/>
          <w:szCs w:val="20"/>
          <w:lang w:eastAsia="ru-RU"/>
        </w:rPr>
        <w:t>28 созыва</w:t>
      </w:r>
    </w:p>
    <w:p w:rsidR="005B382E" w:rsidRPr="005B382E" w:rsidRDefault="005B382E" w:rsidP="005B38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ba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a-RU" w:eastAsia="ru-RU"/>
        </w:rPr>
        <w:t xml:space="preserve">   </w:t>
      </w:r>
    </w:p>
    <w:p w:rsidR="005B382E" w:rsidRDefault="005B382E" w:rsidP="005B382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решение Совета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25.01.2016 г. № 56 «Об утверждении Правил землепользования и застройки в сельском поселении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Башкортостан» </w:t>
      </w:r>
    </w:p>
    <w:p w:rsidR="005B382E" w:rsidRDefault="005B382E" w:rsidP="005B38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Кожанова В.А.,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 е ш и л:</w:t>
      </w: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Правила землепользования и застройки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Башкортостан  следующие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изменения и дополнения:</w:t>
      </w: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Пункт 2 статьи 50 главы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XIII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5B382E" w:rsidRDefault="005B382E" w:rsidP="005B382E">
      <w:pPr>
        <w:autoSpaceDE w:val="0"/>
        <w:autoSpaceDN w:val="0"/>
        <w:adjustRightInd w:val="0"/>
        <w:spacing w:line="25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Назначение общественно-деловых зон: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Зона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«ОД-1» 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широкого спектра коммерческих и обслуживающих функций застройки, формирующей общественно-деловой центр на территории объектов культурного наследия (памятников истории и архитектуры) муниципального района Иглинский район, включающий объекты социального, культурного, спортивного назначений республиканского, районного значений;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Зона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«ОД-2»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широкого спектра коммерческих и обслуживающих функций застройки, формирующей центры районного значения, включающей объекты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социального, культурного, спортивного назначений. 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 общественно-деловых зон могут включаться: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1) зоны делового, общественного и коммерческого назначения;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2) зоны размещения объектов социального и коммунально-бытового назначения;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3) зоны обслуживания объектов, необходимых для осуществления производственной и предпринимательской деятельности;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4) общественно-деловые зоны иных видов.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перечень объектов капитального строительства, разрешенных для размещения в общественно-деловых зонах, могут включаться многоквартирные жилые дома, гостиницы, подземные или многоэтажные гаражи.</w:t>
      </w:r>
    </w:p>
    <w:p w:rsidR="005B382E" w:rsidRDefault="005B382E" w:rsidP="005B38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общественно-деловых зонах допускается размещение как видов разрешенного (основного, условного, либо вспомогательного) использования следующие объекты недвижимости: жилые дома, гостиницы, отдельно стоящих, встроенных или пристроенных объектов повседневного спроса – социального, коммунально-бытового назначения, объектов дошкольного, начального общего и среднего (полного) общего образования, стоянок автомобильного транспорта, подземных и многоэтажных гаражей, паркингов, инженерной инфраструктуры – объектов, не оказывающих негативного воздействия на окружающую среду.</w:t>
      </w:r>
    </w:p>
    <w:p w:rsidR="005B382E" w:rsidRDefault="005B382E" w:rsidP="005B38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Внести изменения в Таблицу 2 Правил землепользования и застройки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изложив в новой редакции (Приложение № 1). </w:t>
      </w: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информационном стенде в здании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по адресу: РБ, Иглинский район,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ул. Парковая, д. 21 и на официальном сайте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сельсовет.</w:t>
      </w: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– Вологжанин А.В.).</w:t>
      </w:r>
    </w:p>
    <w:p w:rsidR="005B382E" w:rsidRDefault="005B382E" w:rsidP="005B382E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382E" w:rsidRDefault="005B382E" w:rsidP="005B38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82E" w:rsidRDefault="005B382E" w:rsidP="005B38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Глава сельского поселения                                                      В.А. Кожанов</w:t>
      </w: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</w:t>
      </w: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решению Совета 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Иглинский район 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Башкортостан</w:t>
      </w:r>
    </w:p>
    <w:p w:rsidR="005B382E" w:rsidRDefault="005B382E" w:rsidP="005B382E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E1B10">
        <w:rPr>
          <w:rFonts w:ascii="Times New Roman" w:eastAsia="Times New Roman" w:hAnsi="Times New Roman"/>
          <w:sz w:val="24"/>
          <w:szCs w:val="24"/>
          <w:lang w:eastAsia="ru-RU"/>
        </w:rPr>
        <w:t>24 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2022 года                   № </w:t>
      </w:r>
      <w:r w:rsidR="003E1B10">
        <w:rPr>
          <w:rFonts w:ascii="Times New Roman" w:eastAsia="Times New Roman" w:hAnsi="Times New Roman"/>
          <w:sz w:val="24"/>
          <w:szCs w:val="24"/>
          <w:lang w:eastAsia="ru-RU"/>
        </w:rPr>
        <w:t>331</w:t>
      </w:r>
      <w:bookmarkStart w:id="2" w:name="_GoBack"/>
      <w:bookmarkEnd w:id="2"/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82E" w:rsidRDefault="005B382E" w:rsidP="005B38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5B382E" w:rsidRDefault="005B382E" w:rsidP="005B382E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</w:t>
      </w:r>
    </w:p>
    <w:tbl>
      <w:tblPr>
        <w:tblW w:w="51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399"/>
        <w:gridCol w:w="1264"/>
        <w:gridCol w:w="1260"/>
        <w:gridCol w:w="1542"/>
        <w:gridCol w:w="1685"/>
        <w:gridCol w:w="1256"/>
      </w:tblGrid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Обозна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чение</w:t>
            </w:r>
            <w:proofErr w:type="spellEnd"/>
            <w:proofErr w:type="gramEnd"/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зоны</w:t>
            </w:r>
            <w:proofErr w:type="gramEnd"/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площадь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длина стороны по уличному фронту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ширина / глубина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коэффициент застройки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Минимальный коэффициент озеленения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Макси-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высота</w:t>
            </w:r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ограды</w:t>
            </w:r>
            <w:proofErr w:type="gramEnd"/>
          </w:p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0,10±0,005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СП-1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  <w:tr w:rsidR="005B382E" w:rsidTr="005B382E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СП-2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82E" w:rsidRDefault="005B38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</w:t>
            </w:r>
          </w:p>
        </w:tc>
      </w:tr>
    </w:tbl>
    <w:p w:rsidR="005B382E" w:rsidRDefault="005B382E" w:rsidP="005B3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382E" w:rsidRDefault="005B382E" w:rsidP="005B3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Примечания:</w:t>
      </w:r>
    </w:p>
    <w:p w:rsidR="005B382E" w:rsidRDefault="005B382E" w:rsidP="005B38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НР – не регламентируется </w:t>
      </w:r>
    </w:p>
    <w:p w:rsidR="005B382E" w:rsidRDefault="005B382E" w:rsidP="005B382E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не соответствие (отклонение) предельных параметров земельных участков и предельные параметры объектов капитального строительства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реконструкции определяются в составе проектной документации по планировке территории</w:t>
      </w:r>
    </w:p>
    <w:p w:rsidR="005B382E" w:rsidRDefault="005B382E" w:rsidP="005B38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82E" w:rsidRDefault="005B382E" w:rsidP="005B38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382E" w:rsidRDefault="005B382E" w:rsidP="005B382E"/>
    <w:p w:rsidR="00E0433D" w:rsidRDefault="00E0433D"/>
    <w:sectPr w:rsidR="00E0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2"/>
    <w:rsid w:val="00261CE2"/>
    <w:rsid w:val="003E1B10"/>
    <w:rsid w:val="005B382E"/>
    <w:rsid w:val="00E0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F2A7-C63E-4220-9949-0B7CC8CA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82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1B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2022-11-25T02:43:00Z</cp:lastPrinted>
  <dcterms:created xsi:type="dcterms:W3CDTF">2022-11-25T02:33:00Z</dcterms:created>
  <dcterms:modified xsi:type="dcterms:W3CDTF">2022-11-25T02:48:00Z</dcterms:modified>
</cp:coreProperties>
</file>