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4500"/>
        <w:gridCol w:w="1800"/>
        <w:gridCol w:w="4140"/>
      </w:tblGrid>
      <w:tr w:rsidR="00C45208" w:rsidTr="00C45208">
        <w:tc>
          <w:tcPr>
            <w:tcW w:w="4500" w:type="dxa"/>
          </w:tcPr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</w:pPr>
            <w:bookmarkStart w:id="0" w:name="_Hlk51583791"/>
            <w:bookmarkStart w:id="1" w:name="_Hlk51583681"/>
            <w:r>
              <w:rPr>
                <w:rFonts w:ascii="TimBashk" w:eastAsia="Times New Roman" w:hAnsi="TimBashk"/>
                <w:sz w:val="24"/>
                <w:szCs w:val="24"/>
                <w:lang w:eastAsia="ru-RU"/>
              </w:rPr>
              <w:t>БАШ</w:t>
            </w:r>
            <w:r>
              <w:rPr>
                <w:rFonts w:ascii="TimBashk" w:eastAsia="Times New Roman" w:hAnsi="TimBashk"/>
                <w:sz w:val="24"/>
                <w:szCs w:val="24"/>
                <w:lang w:val="ba-RU" w:eastAsia="ru-RU"/>
              </w:rPr>
              <w:t>Ҡ</w:t>
            </w:r>
            <w:r>
              <w:rPr>
                <w:rFonts w:ascii="TimBashk" w:eastAsia="Times New Roman" w:hAnsi="TimBashk"/>
                <w:sz w:val="24"/>
                <w:szCs w:val="24"/>
                <w:lang w:eastAsia="ru-RU"/>
              </w:rPr>
              <w:t>ОРТОСТАН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 xml:space="preserve"> РЕСПУБЛИКА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>Һ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>Ы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</w:pP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>ИГЛИН РАЙОНЫ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_Timer(15%) Bashkir" w:eastAsia="Times New Roman" w:hAnsi="a_Timer(15%) Bashkir"/>
                <w:sz w:val="24"/>
                <w:szCs w:val="24"/>
                <w:lang w:eastAsia="ru-RU"/>
              </w:rPr>
              <w:t>МУНИЦИПАЛЬ РАЙОН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>ЫНЫҢ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КӘЛТӘ</w:t>
            </w: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 xml:space="preserve"> АУЫЛ СОВЕТЫ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</w:pPr>
            <w:r>
              <w:rPr>
                <w:rFonts w:ascii="a_Timer(15%) Bashkir" w:eastAsia="Times New Roman" w:hAnsi="a_Timer(15%) Bashkir"/>
                <w:sz w:val="24"/>
                <w:szCs w:val="24"/>
                <w:lang w:val="be-BY" w:eastAsia="ru-RU"/>
              </w:rPr>
              <w:t>АУЫЛ БИЛӘМӘҺЕ СОВЕТЫ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00" w:type="dxa"/>
            <w:hideMark/>
          </w:tcPr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3EA1B" wp14:editId="0B98E7E0">
                  <wp:extent cx="783590" cy="9277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hideMark/>
          </w:tcPr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СОВЕТ СЕЛЬСКОГО ПОСЕЛЕНИЯ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КАЛЬТОВСКИЙ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СЕЛЬСОВЕТ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МУНИЦИПАЛЬНОГО РАЙОНА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ИГЛИНСКИЙ РАЙОН</w:t>
            </w:r>
          </w:p>
          <w:p w:rsidR="00C45208" w:rsidRDefault="00C4520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bookmarkEnd w:id="0"/>
    <w:p w:rsidR="00C45208" w:rsidRDefault="00C45208" w:rsidP="00C45208">
      <w:pPr>
        <w:tabs>
          <w:tab w:val="left" w:pos="360"/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1677ED" wp14:editId="1B03799F">
                <wp:simplePos x="0" y="0"/>
                <wp:positionH relativeFrom="column">
                  <wp:posOffset>-277495</wp:posOffset>
                </wp:positionH>
                <wp:positionV relativeFrom="paragraph">
                  <wp:posOffset>304165</wp:posOffset>
                </wp:positionV>
                <wp:extent cx="65151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447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23.95pt" to="491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cC6L6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45208" w:rsidRDefault="00C45208" w:rsidP="00C4520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ba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a-RU" w:eastAsia="ru-RU"/>
        </w:rPr>
        <w:t xml:space="preserve">                                                                                                             </w:t>
      </w:r>
    </w:p>
    <w:p w:rsidR="00C45208" w:rsidRDefault="00C45208" w:rsidP="00C452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a-RU" w:eastAsia="ru-RU"/>
        </w:rPr>
        <w:t xml:space="preserve">           </w:t>
      </w:r>
      <w:bookmarkEnd w:id="1"/>
      <w:r>
        <w:rPr>
          <w:rFonts w:ascii="Times New Roman" w:eastAsia="Times New Roman" w:hAnsi="Times New Roman"/>
          <w:b/>
          <w:sz w:val="28"/>
          <w:szCs w:val="28"/>
          <w:lang w:val="ba-RU" w:eastAsia="ru-RU"/>
        </w:rPr>
        <w:t>ҠАРАР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866C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2" w:name="_GoBack"/>
      <w:bookmarkEnd w:id="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C45208" w:rsidRDefault="00C45208" w:rsidP="00C452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C45208" w:rsidRDefault="00C45208" w:rsidP="00C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2024 й.                             №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2024 г.</w:t>
      </w:r>
    </w:p>
    <w:p w:rsidR="00C45208" w:rsidRDefault="00C45208" w:rsidP="00C45208">
      <w:pPr>
        <w:spacing w:after="12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Кальтовка</w:t>
      </w:r>
      <w:proofErr w:type="spellEnd"/>
    </w:p>
    <w:p w:rsidR="00C45208" w:rsidRDefault="00C45208" w:rsidP="00C45208">
      <w:pPr>
        <w:spacing w:after="12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208" w:rsidRDefault="00C45208" w:rsidP="00C4520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от 25.01.2016 г. № 56 «Об утверждении Правил землепользования и застройки в сельском поселении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Башкортостан» </w:t>
      </w:r>
    </w:p>
    <w:p w:rsidR="00C45208" w:rsidRDefault="00C45208" w:rsidP="00C45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5208" w:rsidRDefault="00C45208" w:rsidP="00C45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информацию главы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Кожанова В.А., Совет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 е ш и л:</w:t>
      </w:r>
    </w:p>
    <w:p w:rsidR="00C45208" w:rsidRDefault="00C45208" w:rsidP="00C45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Правила землепользования и застройки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муниципального района Иглинский район Республики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Башкортостан  следующие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изменения:</w:t>
      </w:r>
    </w:p>
    <w:p w:rsidR="00C45208" w:rsidRDefault="00C45208" w:rsidP="00C452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Внести изменения в Таблицу 1 Правил землепользования и застройки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«Виды разрешенного использования земельных участков и объектов капитального строительства по территориальным зонам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Башкортостан» изложив в новой редакции (Приложение № 1). </w:t>
      </w:r>
    </w:p>
    <w:p w:rsidR="00C45208" w:rsidRDefault="00C45208" w:rsidP="00C45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информационном стенде в здании администрации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по адресу: РБ, Иглинский район,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Кальтовка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ул. Парковая, д. 21 и на официальном сайте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сельсовет.</w:t>
      </w:r>
    </w:p>
    <w:p w:rsidR="00C45208" w:rsidRDefault="00C45208" w:rsidP="00C45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 (председатель – Тарасюк Л.В.).</w:t>
      </w:r>
    </w:p>
    <w:p w:rsidR="00C45208" w:rsidRDefault="00C45208" w:rsidP="00C45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5208" w:rsidRDefault="00C45208" w:rsidP="00C45208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В.А. Кожанов</w:t>
      </w:r>
    </w:p>
    <w:p w:rsidR="00251BD1" w:rsidRDefault="00251BD1"/>
    <w:sectPr w:rsidR="0025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F4"/>
    <w:rsid w:val="00251BD1"/>
    <w:rsid w:val="00766AF4"/>
    <w:rsid w:val="00866C66"/>
    <w:rsid w:val="00C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4140-DAE6-46DB-A8FB-420E99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0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2024-11-08T04:06:00Z</cp:lastPrinted>
  <dcterms:created xsi:type="dcterms:W3CDTF">2024-11-08T04:02:00Z</dcterms:created>
  <dcterms:modified xsi:type="dcterms:W3CDTF">2024-11-08T04:09:00Z</dcterms:modified>
</cp:coreProperties>
</file>